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578 — Robot Compliance Evidence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 xml:space="preserve">Domain: </w:t>
      </w:r>
      <w:r>
        <w:rPr>
          <w:rFonts w:ascii="Consolas" w:hAnsi="Consolas"/>
          <w:sz w:val="18"/>
        </w:rPr>
        <w:t>robot-compliance-evidence</w:t>
      </w:r>
    </w:p>
    <w:p>
      <w:r>
        <w:t xml:space="preserve">API: </w:t>
      </w:r>
      <w:r>
        <w:rPr>
          <w:rFonts w:ascii="Consolas" w:hAnsi="Consolas"/>
          <w:sz w:val="18"/>
        </w:rPr>
        <w:t>/api/v1/spatial-robotics-operations/robot-compliance-evidence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578 — Robot Compliance Evidence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