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66 - Export Runtime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Apply this patch over Sprint 65.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/api/v1/exports</w:t>
        <w:br/>
        <w:t>POST /api/v1/exports</w:t>
      </w:r>
    </w:p>
    <w:p>
      <w:pPr>
        <w:pStyle w:val="Heading1"/>
      </w:pPr>
      <w:r>
        <w:t>Export keys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customers</w:t>
        <w:br/>
        <w:t>jobs</w:t>
        <w:br/>
        <w:t>invoices</w:t>
        <w:br/>
        <w:t>payments</w:t>
        <w:br/>
        <w:t>inventory</w:t>
        <w:br/>
        <w:t>portal-bookings</w:t>
        <w:br/>
        <w:t>report-revenue</w:t>
        <w:br/>
        <w:t>report-dashboard</w:t>
        <w:br/>
        <w:t>report-inventory-value</w:t>
      </w:r>
    </w:p>
    <w:p>
      <w:pPr>
        <w:pStyle w:val="Heading1"/>
      </w:pPr>
      <w:r>
        <w:t>Example body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{</w:t>
        <w:br/>
        <w:t xml:space="preserve">  "exportKey": "customers"</w:t>
        <w:br/>
        <w:t>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66 - Export Runtime</dc:title>
  <dc:subject>Endpoints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