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759 — Continuous Release Integrity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Purpose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759 continuously evaluates the production-release drift evidence created by Sprint 758 and turns it into an operational health signal.</w:t>
      </w:r>
    </w:p>
    <w:p>
      <w:pPr>
        <w:pStyle w:val="Heading1"/>
      </w:pPr>
      <w:r>
        <w:t>Health states</w:t>
      </w:r>
    </w:p>
    <w:p>
      <w:pPr>
        <w:pStyle w:val="ListBullet"/>
      </w:pPr>
      <w:r>
        <w:t>healthy: the current deployment remains aligned;</w:t>
      </w:r>
    </w:p>
    <w:p>
      <w:pPr>
        <w:pStyle w:val="ListBullet"/>
      </w:pPr>
      <w:r>
        <w:t>degraded: required runtime or trusted evidence is incomplete;</w:t>
      </w:r>
    </w:p>
    <w:p>
      <w:pPr>
        <w:pStyle w:val="ListBullet"/>
      </w:pPr>
      <w:r>
        <w:t>critical: confirmed release drift exists;</w:t>
      </w:r>
    </w:p>
    <w:p>
      <w:pPr>
        <w:pStyle w:val="ListBullet"/>
      </w:pPr>
      <w:r>
        <w:t>recovered: a previously non-aligned deployment is aligned again.</w:t>
      </w:r>
    </w:p>
    <w:p>
      <w:pPr>
        <w:pStyle w:val="Heading1"/>
      </w:pPr>
      <w:r>
        <w:t>Incident behavior</w:t>
      </w:r>
    </w:p>
    <w:p>
      <w:r>
        <w:t>The monitor creates a deterministic incident key from the drift state and release fingerprints.</w:t>
      </w:r>
    </w:p>
    <w:p>
      <w:r>
        <w:t xml:space="preserve">Repeated evaluations of the same unresolved condition are marked as duplicate incidents and suppressed. A transition from any non-aligned state to </w:t>
      </w:r>
      <w:r>
        <w:rPr>
          <w:rFonts w:ascii="Consolas" w:hAnsi="Consolas"/>
          <w:sz w:val="18"/>
        </w:rPr>
        <w:t>aligned</w:t>
      </w:r>
      <w:r>
        <w:t xml:space="preserve"> is reported as recovery.</w:t>
      </w:r>
    </w:p>
    <w:p>
      <w:pPr>
        <w:pStyle w:val="Heading1"/>
      </w:pPr>
      <w:r>
        <w:t>Evidence files</w:t>
      </w:r>
    </w:p>
    <w:p>
      <w:r>
        <w:t>Default output files:</w:t>
      </w:r>
    </w:p>
    <w:p>
      <w:pPr>
        <w:pStyle w:val="ListBullet"/>
      </w:pPr>
      <w:r>
        <w:t>release-evidence/continuous-release-integrity-report.json</w:t>
      </w:r>
    </w:p>
    <w:p>
      <w:pPr>
        <w:pStyle w:val="ListBullet"/>
      </w:pPr>
      <w:r>
        <w:t>release-evidence/continuous-release-integrity-state.json</w:t>
      </w:r>
    </w:p>
    <w:p>
      <w:r>
        <w:t>The underlying Sprint 758 report remains:</w:t>
      </w:r>
    </w:p>
    <w:p>
      <w:pPr>
        <w:pStyle w:val="ListBullet"/>
      </w:pPr>
      <w:r>
        <w:t>release-evidence/production-release-drift-report.json</w:t>
      </w:r>
    </w:p>
    <w:p>
      <w:pPr>
        <w:pStyle w:val="Heading1"/>
      </w:pPr>
      <w:r>
        <w:t>Commands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test:sprint759</w:t>
        <w:br/>
        <w:t>npm run release:integrity-monitor -- --allow-degraded</w:t>
      </w:r>
    </w:p>
    <w:p>
      <w:r>
        <w:t xml:space="preserve">Strict monitoring exits with code </w:t>
      </w:r>
      <w:r>
        <w:rPr>
          <w:rFonts w:ascii="Consolas" w:hAnsi="Consolas"/>
          <w:sz w:val="18"/>
        </w:rPr>
        <w:t>2</w:t>
      </w:r>
      <w:r>
        <w:t xml:space="preserve"> for </w:t>
      </w:r>
      <w:r>
        <w:rPr>
          <w:rFonts w:ascii="Consolas" w:hAnsi="Consolas"/>
          <w:sz w:val="18"/>
        </w:rPr>
        <w:t>degraded</w:t>
      </w:r>
      <w:r>
        <w:t xml:space="preserve"> or </w:t>
      </w:r>
      <w:r>
        <w:rPr>
          <w:rFonts w:ascii="Consolas" w:hAnsi="Consolas"/>
          <w:sz w:val="18"/>
        </w:rPr>
        <w:t>critical</w:t>
      </w:r>
      <w:r>
        <w:t>.</w:t>
      </w:r>
    </w:p>
    <w:p>
      <w:pPr>
        <w:pStyle w:val="Heading1"/>
      </w:pPr>
      <w:r>
        <w:t>Production scheduling</w:t>
      </w:r>
    </w:p>
    <w:p>
      <w:r>
        <w:t>Run the command from the deployment scheduler, cron service, Render job, or operational monitor at an interval appropriate to the release process.</w:t>
      </w:r>
    </w:p>
    <w:p>
      <w:r>
        <w:t>Do not commit generated release-evidence reports that contain environment-specific deployment metadata.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759 — Continuous Release Integrity Monitoring</dc:title>
  <dc:subject>Purpose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