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770 — Continuous Delivery Control Optimization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Sprint 770 analyzes delivery outcomes and recommends control changes.</w:t>
      </w:r>
    </w:p>
    <w:p>
      <w:r>
        <w:t>Inputs:</w:t>
      </w:r>
    </w:p>
    <w:p>
      <w:pPr>
        <w:pStyle w:val="ListBullet"/>
      </w:pPr>
      <w:r>
        <w:t>deployment failure rate;</w:t>
      </w:r>
    </w:p>
    <w:p>
      <w:pPr>
        <w:pStyle w:val="ListBullet"/>
      </w:pPr>
      <w:r>
        <w:t>rollback rate;</w:t>
      </w:r>
    </w:p>
    <w:p>
      <w:pPr>
        <w:pStyle w:val="ListBullet"/>
      </w:pPr>
      <w:r>
        <w:t>average release risk;</w:t>
      </w:r>
    </w:p>
    <w:p>
      <w:pPr>
        <w:pStyle w:val="ListBullet"/>
      </w:pPr>
      <w:r>
        <w:t>safe policy simulation results.</w:t>
      </w:r>
    </w:p>
    <w:p>
      <w:r>
        <w:t>Recommendations can increase or relax controls, but policy changes require explicit approval before application.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770 — Continuous Delivery Control Optimization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