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91 - Warranty and Callback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90.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/api/v1/warranty/policies</w:t>
        <w:br/>
        <w:t>POST /api/v1/warranty/policies</w:t>
        <w:br/>
        <w:br/>
        <w:t>GET  /api/v1/warranty/claims</w:t>
        <w:br/>
        <w:t>POST /api/v1/warranty/claims</w:t>
        <w:br/>
        <w:t>POST /api/v1/warranty/claims/evaluate</w:t>
        <w:br/>
        <w:t>POST /api/v1/warranty/claims/:id/approve</w:t>
        <w:br/>
        <w:t>POST /api/v1/warranty/claims/:id/deny</w:t>
        <w:br/>
        <w:br/>
        <w:t>GET  /api/v1/callbacks</w:t>
        <w:br/>
        <w:t>POST /api/v1/callbacks</w:t>
        <w:br/>
        <w:t>POST /api/v1/callbacks/:id/complete</w:t>
      </w:r>
    </w:p>
    <w:p>
      <w:pPr>
        <w:pStyle w:val="Heading1"/>
      </w:pPr>
      <w:r>
        <w:t>Seed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seed:warranty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91 - Warranty and Callback Runtime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