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14 — Enterprise Production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pPr>
        <w:pStyle w:val="ListBullet"/>
      </w:pPr>
      <w:r>
        <w:t>Sprint 231: High Availability</w:t>
      </w:r>
    </w:p>
    <w:p>
      <w:pPr>
        <w:pStyle w:val="ListBullet"/>
      </w:pPr>
      <w:r>
        <w:t>Sprint 232: Zero-Downtime Deployments</w:t>
      </w:r>
    </w:p>
    <w:p>
      <w:pPr>
        <w:pStyle w:val="ListBullet"/>
      </w:pPr>
      <w:r>
        <w:t>Sprint 233: Kubernetes Operations</w:t>
      </w:r>
    </w:p>
    <w:p>
      <w:pPr>
        <w:pStyle w:val="ListBullet"/>
      </w:pPr>
      <w:r>
        <w:t>Sprint 234: Horizontal Scaling</w:t>
      </w:r>
    </w:p>
    <w:p>
      <w:pPr>
        <w:pStyle w:val="ListBullet"/>
      </w:pPr>
      <w:r>
        <w:t>Sprint 235: Multi-Cloud Deployment</w:t>
      </w:r>
    </w:p>
    <w:p>
      <w:pPr>
        <w:pStyle w:val="ListBullet"/>
      </w:pPr>
      <w:r>
        <w:t>Sprint 236: Regional Replication</w:t>
      </w:r>
    </w:p>
    <w:p>
      <w:pPr>
        <w:pStyle w:val="ListBullet"/>
      </w:pPr>
      <w:r>
        <w:t>Sprint 237: Disaster Recovery Automation</w:t>
      </w:r>
    </w:p>
    <w:p>
      <w:pPr>
        <w:pStyle w:val="ListBullet"/>
      </w:pPr>
      <w:r>
        <w:t>Sprint 238: Security Hardening</w:t>
      </w:r>
    </w:p>
    <w:p>
      <w:pPr>
        <w:pStyle w:val="ListBullet"/>
      </w:pPr>
      <w:r>
        <w:t>Sprint 239: SOC 2 Automation</w:t>
      </w:r>
    </w:p>
    <w:p>
      <w:pPr>
        <w:pStyle w:val="ListBullet"/>
      </w:pPr>
      <w:r>
        <w:t>Sprint 240: ISO 27001 Automation</w:t>
      </w:r>
    </w:p>
    <w:p>
      <w:pPr>
        <w:pStyle w:val="ListBullet"/>
      </w:pPr>
      <w:r>
        <w:t>Sprint 241: HIPAA Extensions</w:t>
      </w:r>
    </w:p>
    <w:p>
      <w:pPr>
        <w:pStyle w:val="ListBullet"/>
      </w:pPr>
      <w:r>
        <w:t>Sprint 242: PCI DSS Extensions</w:t>
      </w:r>
    </w:p>
    <w:p>
      <w:pPr>
        <w:pStyle w:val="ListBullet"/>
      </w:pPr>
      <w:r>
        <w:t>Sprint 243: FedRAMP Readiness</w:t>
      </w:r>
    </w:p>
    <w:p>
      <w:pPr>
        <w:pStyle w:val="ListBullet"/>
      </w:pPr>
      <w:r>
        <w:t>Sprint 244: Penetration Testing Automation</w:t>
      </w:r>
    </w:p>
    <w:p>
      <w:pPr>
        <w:pStyle w:val="ListBullet"/>
      </w:pPr>
      <w:r>
        <w:t>Sprint 245: Production Optimization</w:t>
      </w:r>
    </w:p>
    <w:p>
      <w:pPr>
        <w:pStyle w:val="ListBullet"/>
      </w:pPr>
      <w:r>
        <w:t>Sprint 246: Version 2 Upgrade Tooling</w:t>
      </w:r>
    </w:p>
    <w:p>
      <w:pPr>
        <w:pStyle w:val="ListBullet"/>
      </w:pPr>
      <w:r>
        <w:t>Sprint 247: Enterprise Installer</w:t>
      </w:r>
    </w:p>
    <w:p>
      <w:pPr>
        <w:pStyle w:val="ListBullet"/>
      </w:pPr>
      <w:r>
        <w:t>Sprint 248: Long-Term Support</w:t>
      </w:r>
    </w:p>
    <w:p>
      <w:pPr>
        <w:pStyle w:val="ListBullet"/>
      </w:pPr>
      <w:r>
        <w:t>Sprint 249: Release Candidate</w:t>
      </w:r>
    </w:p>
    <w:p>
      <w:pPr>
        <w:pStyle w:val="ListBullet"/>
      </w:pPr>
      <w:r>
        <w:t>Sprint 250: Version 2.0 General Availability</w:t>
      </w:r>
    </w:p>
    <w:p>
      <w:r>
        <w:t xml:space="preserve">Base API: </w:t>
      </w:r>
      <w:r>
        <w:rPr>
          <w:rFonts w:ascii="Consolas" w:hAnsi="Consolas"/>
          <w:sz w:val="18"/>
        </w:rPr>
        <w:t>/api/v1/enterprise-production/&lt;domain&gt;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14 — Enterprise Production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