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17 — Global Scale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Sprints 281–295.</w:t>
      </w:r>
    </w:p>
    <w:p>
      <w:r>
        <w:t>Domains:</w:t>
      </w:r>
    </w:p>
    <w:p>
      <w:pPr>
        <w:pStyle w:val="ListBullet"/>
      </w:pPr>
      <w:r>
        <w:t>281: Internationalization Foundation</w:t>
      </w:r>
    </w:p>
    <w:p>
      <w:pPr>
        <w:pStyle w:val="ListBullet"/>
      </w:pPr>
      <w:r>
        <w:t>282: Localization Management</w:t>
      </w:r>
    </w:p>
    <w:p>
      <w:pPr>
        <w:pStyle w:val="ListBullet"/>
      </w:pPr>
      <w:r>
        <w:t>283: Regional Data Residency</w:t>
      </w:r>
    </w:p>
    <w:p>
      <w:pPr>
        <w:pStyle w:val="ListBullet"/>
      </w:pPr>
      <w:r>
        <w:t>284: Global Identity Federation</w:t>
      </w:r>
    </w:p>
    <w:p>
      <w:pPr>
        <w:pStyle w:val="ListBullet"/>
      </w:pPr>
      <w:r>
        <w:t>285: Multi Region Tenant Routing</w:t>
      </w:r>
    </w:p>
    <w:p>
      <w:pPr>
        <w:pStyle w:val="ListBullet"/>
      </w:pPr>
      <w:r>
        <w:t>286: Cross Region Failover</w:t>
      </w:r>
    </w:p>
    <w:p>
      <w:pPr>
        <w:pStyle w:val="ListBullet"/>
      </w:pPr>
      <w:r>
        <w:t>287: Edge Synchronization</w:t>
      </w:r>
    </w:p>
    <w:p>
      <w:pPr>
        <w:pStyle w:val="ListBullet"/>
      </w:pPr>
      <w:r>
        <w:t>288: Regional Configuration Management</w:t>
      </w:r>
    </w:p>
    <w:p>
      <w:pPr>
        <w:pStyle w:val="ListBullet"/>
      </w:pPr>
      <w:r>
        <w:t>289: Global Notification Localization</w:t>
      </w:r>
    </w:p>
    <w:p>
      <w:pPr>
        <w:pStyle w:val="ListBullet"/>
      </w:pPr>
      <w:r>
        <w:t>290: Timezone Calendar Localization</w:t>
      </w:r>
    </w:p>
    <w:p>
      <w:pPr>
        <w:pStyle w:val="ListBullet"/>
      </w:pPr>
      <w:r>
        <w:t>291: Currency Tax Localization</w:t>
      </w:r>
    </w:p>
    <w:p>
      <w:pPr>
        <w:pStyle w:val="ListBullet"/>
      </w:pPr>
      <w:r>
        <w:t>292: Regional Compliance Packs</w:t>
      </w:r>
    </w:p>
    <w:p>
      <w:pPr>
        <w:pStyle w:val="ListBullet"/>
      </w:pPr>
      <w:r>
        <w:t>293: Sovereign Cloud Readiness</w:t>
      </w:r>
    </w:p>
    <w:p>
      <w:pPr>
        <w:pStyle w:val="ListBullet"/>
      </w:pPr>
      <w:r>
        <w:t>294: Global Scale Validation</w:t>
      </w:r>
    </w:p>
    <w:p>
      <w:pPr>
        <w:pStyle w:val="ListBullet"/>
      </w:pPr>
      <w:r>
        <w:t>295: Global Scale 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17 — Global Scale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