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40 — Hyperautomation Enterprise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626–640.</w:t>
      </w:r>
    </w:p>
    <w:p>
      <w:r>
        <w:t xml:space="preserve">API base: </w:t>
      </w:r>
      <w:r>
        <w:rPr>
          <w:rFonts w:ascii="Consolas" w:hAnsi="Consolas"/>
          <w:sz w:val="18"/>
        </w:rPr>
        <w:t>/api/v1/hyperautomation-enterprise-orchestration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40 — Hyperautomation Enterprise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