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67 Security Model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Security controls:</w:t>
      </w:r>
    </w:p>
    <w:p>
      <w:pPr>
        <w:pStyle w:val="ListBullet"/>
      </w:pPr>
      <w:r>
        <w:t>audit records use deterministic SHA-256 integrity hashes;</w:t>
      </w:r>
    </w:p>
    <w:p>
      <w:pPr>
        <w:pStyle w:val="ListBullet"/>
      </w:pPr>
      <w:r>
        <w:t>API queries limit result sizes;</w:t>
      </w:r>
    </w:p>
    <w:p>
      <w:pPr>
        <w:pStyle w:val="ListBullet"/>
      </w:pPr>
      <w:r>
        <w:t>command-center views do not modify lower-level release controls;</w:t>
      </w:r>
    </w:p>
    <w:p>
      <w:pPr>
        <w:pStyle w:val="ListBullet"/>
      </w:pPr>
      <w:r>
        <w:t>audit exploration supports actor, action, resource type, and outcome filtering;</w:t>
      </w:r>
    </w:p>
    <w:p>
      <w:pPr>
        <w:pStyle w:val="ListBullet"/>
      </w:pPr>
      <w:r>
        <w:t>generated evidence remains outside source control;</w:t>
      </w:r>
    </w:p>
    <w:p>
      <w:pPr>
        <w:pStyle w:val="ListBullet"/>
      </w:pPr>
      <w:r>
        <w:t>dashboard data is built from governed release sources;</w:t>
      </w:r>
    </w:p>
    <w:p>
      <w:pPr>
        <w:pStyle w:val="ListBullet"/>
      </w:pPr>
      <w:r>
        <w:t>the UI does not expose secrets or raw credentials.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67 Security Model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