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68 Operations Runbook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Evaluate release risk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Analyze deployment performance</w:t>
        </w:r>
      </w:hyperlink>
    </w:p>
    <w:p>
      <w:pPr>
        <w:spacing w:after="60"/>
        <w:ind w:left="0"/>
      </w:pPr>
      <w:hyperlink w:anchor="section_002">
        <w:r>
          <w:rPr>
            <w:rStyle w:val="Hyperlink"/>
          </w:rPr>
          <w:t>Operating rule</w:t>
        </w:r>
      </w:hyperlink>
    </w:p>
    <w:p>
      <w:r>
        <w:br w:type="page"/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release:risk-evaluate</w:t>
      </w:r>
    </w:p>
    <w:p>
      <w:pPr>
        <w:pStyle w:val="Heading1"/>
      </w:pPr>
      <w:bookmarkStart w:id="3" w:name="section_001"/>
      <w:r>
        <w:t>Analyze deployment performance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release:performance-analyze</w:t>
      </w:r>
    </w:p>
    <w:p>
      <w:pPr>
        <w:pStyle w:val="Heading1"/>
      </w:pPr>
      <w:bookmarkStart w:id="4" w:name="section_002"/>
      <w:r>
        <w:t>Operating rule</w:t>
      </w:r>
      <w:bookmarkEnd w:id="4"/>
    </w:p>
    <w:p>
      <w:r>
        <w:t>Risk intelligence is advisory until the configured blocking threshold is reached. At or above the threshold, the release must be corrected, explicitly governed, or rejected.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68 Operations Runbook</dc:title>
  <dc:subject>Evaluate release risk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