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68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68 uses transparent deterministic scoring.</w:t>
      </w:r>
    </w:p>
    <w:p>
      <w:pPr>
        <w:pStyle w:val="ListBullet"/>
      </w:pPr>
      <w:r>
        <w:t>no hidden model or external AI service is required;</w:t>
      </w:r>
    </w:p>
    <w:p>
      <w:pPr>
        <w:pStyle w:val="ListBullet"/>
      </w:pPr>
      <w:r>
        <w:t>every factor and weight is inspectable;</w:t>
      </w:r>
    </w:p>
    <w:p>
      <w:pPr>
        <w:pStyle w:val="ListBullet"/>
      </w:pPr>
      <w:r>
        <w:t>blocking thresholds are configuration-controlled;</w:t>
      </w:r>
    </w:p>
    <w:p>
      <w:pPr>
        <w:pStyle w:val="ListBullet"/>
      </w:pPr>
      <w:r>
        <w:t>results are persisted for audit and comparison;</w:t>
      </w:r>
    </w:p>
    <w:p>
      <w:pPr>
        <w:pStyle w:val="ListBullet"/>
      </w:pPr>
      <w:r>
        <w:t>API decisions fail closed at the configured risk threshold;</w:t>
      </w:r>
    </w:p>
    <w:p>
      <w:pPr>
        <w:pStyle w:val="ListBullet"/>
      </w:pPr>
      <w:r>
        <w:t>generated evidence remains outside source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68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