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PLATFORM OVERVIEW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ServicePro Sales Documentation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Contents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pPr>
        <w:spacing w:after="60"/>
        <w:ind w:left="0"/>
      </w:pPr>
      <w:hyperlink w:anchor="section_001">
        <w:r>
          <w:rPr>
            <w:rStyle w:val="Hyperlink"/>
          </w:rPr>
          <w:t>Audience</w:t>
        </w:r>
      </w:hyperlink>
    </w:p>
    <w:p>
      <w:pPr>
        <w:spacing w:after="60"/>
        <w:ind w:left="0"/>
      </w:pPr>
      <w:hyperlink w:anchor="section_002">
        <w:r>
          <w:rPr>
            <w:rStyle w:val="Hyperlink"/>
          </w:rPr>
          <w:t>Maintenance</w:t>
        </w:r>
      </w:hyperlink>
    </w:p>
    <w:p>
      <w:r>
        <w:br w:type="page"/>
      </w:r>
    </w:p>
    <w:p>
      <w:r>
        <w:t>This directory contains enterprise sales materials for the ServicePro platform.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75"/>
        <w:gridCol w:w="7585"/>
      </w:tblGrid>
      <w:tr>
        <w:trPr>
          <w:tblHeader w:val="true"/>
        </w:trPr>
        <w:tc>
          <w:tcPr>
            <w:tcW w:type="dxa" w:w="1775"/>
            <w:vAlign w:val="center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7585"/>
            <w:vAlign w:val="center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17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SERVICEPRO-ENTERPRISE-PLATFORM.md</w:t>
            </w:r>
          </w:p>
        </w:tc>
        <w:tc>
          <w:tcPr>
            <w:tcW w:type="dxa" w:w="75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Primary enterprise sales guide covering platform capabilities, pricing tiers, architecture, security, deployment, and competitive positioning</w:t>
            </w:r>
          </w:p>
        </w:tc>
      </w:tr>
    </w:tbl>
    <w:p>
      <w:pPr>
        <w:spacing w:after="40"/>
      </w:pPr>
    </w:p>
    <w:p>
      <w:pPr>
        <w:pStyle w:val="Heading1"/>
      </w:pPr>
      <w:bookmarkStart w:id="3" w:name="section_001"/>
      <w:r>
        <w:t>Audience</w:t>
      </w:r>
      <w:bookmarkEnd w:id="3"/>
    </w:p>
    <w:p>
      <w:pPr>
        <w:pStyle w:val="ListBullet"/>
      </w:pPr>
      <w:r>
        <w:t>Prospective customers and enterprise buyers</w:t>
      </w:r>
    </w:p>
    <w:p>
      <w:pPr>
        <w:pStyle w:val="ListBullet"/>
      </w:pPr>
      <w:r>
        <w:t>Technical evaluators and solution architects</w:t>
      </w:r>
    </w:p>
    <w:p>
      <w:pPr>
        <w:pStyle w:val="ListBullet"/>
      </w:pPr>
      <w:r>
        <w:t>Implementation partners and system integrators</w:t>
      </w:r>
    </w:p>
    <w:p>
      <w:pPr>
        <w:pStyle w:val="ListBullet"/>
      </w:pPr>
      <w:r>
        <w:t>Investors and business stakeholders</w:t>
      </w:r>
    </w:p>
    <w:p>
      <w:pPr>
        <w:pStyle w:val="Heading1"/>
      </w:pPr>
      <w:bookmarkStart w:id="4" w:name="section_002"/>
      <w:r>
        <w:t>Maintenance</w:t>
      </w:r>
      <w:bookmarkEnd w:id="4"/>
    </w:p>
    <w:p>
      <w:r>
        <w:t>This document reflects capabilities evidenced in the repository source code. Feature availability labels follow this classification:</w:t>
      </w:r>
    </w:p>
    <w:p>
      <w:pPr>
        <w:pStyle w:val="ListBullet"/>
      </w:pPr>
      <w:r>
        <w:t>Available — Implemented and production-ready with routes, services, and UI</w:t>
      </w:r>
    </w:p>
    <w:p>
      <w:pPr>
        <w:pStyle w:val="ListBullet"/>
      </w:pPr>
      <w:r>
        <w:t>Configurable — Available with tenant-level or environment-level configuration options</w:t>
      </w:r>
    </w:p>
    <w:p>
      <w:pPr>
        <w:pStyle w:val="ListBullet"/>
      </w:pPr>
      <w:r>
        <w:t>Enterprise Option — Available under enterprise tier or requires additional enablement</w:t>
      </w:r>
    </w:p>
    <w:p>
      <w:pPr>
        <w:pStyle w:val="ListBullet"/>
      </w:pPr>
      <w:r>
        <w:t>Preview — Implemented with API routes but UI or workflows may be limited</w:t>
      </w:r>
    </w:p>
    <w:p>
      <w:pPr>
        <w:pStyle w:val="ListBullet"/>
      </w:pPr>
      <w:r>
        <w:t>Planned — Designed and specified but not yet fully implemented in repository</w:t>
      </w:r>
    </w:p>
    <w:p>
      <w:pPr>
        <w:pStyle w:val="ListBullet"/>
      </w:pPr>
      <w:r>
        <w:t>Integration Dependent — Requires external service connection to function</w:t>
      </w:r>
    </w:p>
    <w:p>
      <w:r>
        <w:t>Update this document when new features ship or availability status changes.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PLATFORM OVERVIEW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ServicePro Sales Documentation</dc:title>
  <dc:subject>Contents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