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300" w:after="200"/>
        <w:jc w:val="center"/>
      </w:pPr>
      <w:r>
        <w:rPr>
          <w:rFonts w:ascii="Aptos" w:hAnsi="Aptos"/>
          <w:b/>
          <w:color w:val="C7922B"/>
          <w:sz w:val="20"/>
        </w:rPr>
        <w:t>SPRINT DOCUMENTATION</w:t>
      </w:r>
    </w:p>
    <w:p>
      <w:pPr>
        <w:spacing w:after="240"/>
        <w:jc w:val="center"/>
      </w:pPr>
      <w:r>
        <w:rPr>
          <w:rFonts w:ascii="Aptos Display" w:hAnsi="Aptos Display"/>
          <w:b/>
          <w:color w:val="17365D"/>
          <w:sz w:val="60"/>
        </w:rPr>
        <w:t>Sprint 117 - Compliance Control Mapping</w:t>
      </w:r>
    </w:p>
    <w:p>
      <w:pPr>
        <w:spacing w:after="1600"/>
        <w:jc w:val="center"/>
      </w:pPr>
      <w:r>
        <w:rPr>
          <w:rFonts w:ascii="Aptos" w:hAnsi="Aptos"/>
          <w:color w:val="2E74B5"/>
          <w:sz w:val="28"/>
        </w:rPr>
        <w:t>Endpoints to wire</w:t>
      </w:r>
    </w:p>
    <w:p>
      <w:pPr>
        <w:jc w:val="center"/>
      </w:pPr>
      <w:r>
        <w:rPr>
          <w:color w:val="66788A"/>
          <w:sz w:val="19"/>
        </w:rPr>
        <w:t>Publication edition  |  2026-08-03</w:t>
      </w:r>
    </w:p>
    <w:p>
      <w:r>
        <w:br w:type="page"/>
      </w:r>
    </w:p>
    <w:p>
      <w:pPr>
        <w:pStyle w:val="Heading1"/>
      </w:pPr>
      <w:bookmarkStart w:id="1" w:name="document_control"/>
      <w:r>
        <w:t>Document Control</w:t>
      </w:r>
      <w:bookmarkEnd w:id="1"/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100"/>
        <w:gridCol w:w="7260"/>
      </w:tblGrid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Purpose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Enterprise platform overview and buyer evaluation reference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Audience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Business leaders, platform administrators, evaluators, partners, and technical stakeholders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Scope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Capabilities, architecture, security, deployment, adoption, outcomes, and terminology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Source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ServicePro repository documentation; technical meaning preserved</w:t>
            </w:r>
          </w:p>
        </w:tc>
      </w:tr>
    </w:tbl>
    <w:p>
      <w:r>
        <w:t>Use the linked table of contents below or Word's Navigation Pane to move through this document.</w:t>
      </w:r>
    </w:p>
    <w:p>
      <w:pPr>
        <w:pStyle w:val="Heading1"/>
      </w:pPr>
      <w:bookmarkStart w:id="2" w:name="table_of_contents"/>
      <w:r>
        <w:t>Table of Contents</w:t>
      </w:r>
      <w:bookmarkEnd w:id="2"/>
    </w:p>
    <w:p>
      <w:pPr>
        <w:spacing w:after="60"/>
      </w:pPr>
      <w:hyperlink w:anchor="document_control">
        <w:r>
          <w:rPr>
            <w:rStyle w:val="Hyperlink"/>
          </w:rPr>
          <w:t>Document Control</w:t>
        </w:r>
      </w:hyperlink>
    </w:p>
    <w:p>
      <w:pPr>
        <w:spacing w:after="60"/>
        <w:ind w:left="0"/>
      </w:pPr>
      <w:hyperlink w:anchor="section_001">
        <w:r>
          <w:rPr>
            <w:rStyle w:val="Hyperlink"/>
          </w:rPr>
          <w:t>Seed</w:t>
        </w:r>
      </w:hyperlink>
    </w:p>
    <w:p>
      <w:r>
        <w:br w:type="page"/>
      </w:r>
    </w:p>
    <w:p>
      <w:r>
        <w:t>Apply this patch over Sprint 116.</w:t>
      </w:r>
    </w:p>
    <w:p>
      <w:pPr>
        <w:pStyle w:val="NoSpacing"/>
        <w:spacing w:before="100" w:after="140"/>
        <w:ind w:left="259"/>
        <w:shd w:fill="F3F6FA"/>
      </w:pPr>
      <w:r>
        <w:rPr>
          <w:rFonts w:ascii="Consolas" w:hAnsi="Consolas"/>
          <w:color w:val="243447"/>
          <w:sz w:val="15"/>
        </w:rPr>
        <w:t>GET  /api/v1/compliance-controls/frameworks</w:t>
        <w:br/>
        <w:t>POST /api/v1/compliance-controls/frameworks</w:t>
        <w:br/>
        <w:t>GET  /api/v1/compliance-controls/controls</w:t>
        <w:br/>
        <w:t>POST /api/v1/compliance-controls/frameworks/:id/controls</w:t>
        <w:br/>
        <w:t>GET  /api/v1/compliance-controls/controls/:id/evidence</w:t>
        <w:br/>
        <w:t>POST /api/v1/compliance-controls/controls/:id/evidence</w:t>
        <w:br/>
        <w:t>GET  /api/v1/compliance-controls/controls/:id/test-runs</w:t>
        <w:br/>
        <w:t>POST /api/v1/compliance-controls/controls/:id/test-runs</w:t>
        <w:br/>
        <w:t>POST /api/v1/compliance-controls/test-runs/:id/start</w:t>
        <w:br/>
        <w:t>POST /api/v1/compliance-controls/test-runs/:id/complete</w:t>
        <w:br/>
        <w:t>GET  /api/v1/compliance-controls/gaps</w:t>
        <w:br/>
        <w:t>POST /api/v1/compliance-controls/controls/:id/gaps</w:t>
        <w:br/>
        <w:t>POST /api/v1/compliance-controls/gaps/:id/close</w:t>
        <w:br/>
        <w:t>POST /api/v1/compliance-controls/gaps/:id/accept</w:t>
        <w:br/>
        <w:t>GET  /api/v1/compliance-controls/gaps/:id/corrective-actions</w:t>
        <w:br/>
        <w:t>POST /api/v1/compliance-controls/gaps/:id/corrective-actions</w:t>
        <w:br/>
        <w:t>POST /api/v1/compliance-controls/corrective-actions/:id/complete</w:t>
        <w:br/>
        <w:t>GET  /api/v1/compliance-controls/coverage</w:t>
      </w:r>
    </w:p>
    <w:p>
      <w:pPr>
        <w:pStyle w:val="Heading1"/>
      </w:pPr>
      <w:bookmarkStart w:id="3" w:name="section_001"/>
      <w:r>
        <w:t>Seed</w:t>
      </w:r>
      <w:bookmarkEnd w:id="3"/>
    </w:p>
    <w:p>
      <w:pPr>
        <w:pStyle w:val="NoSpacing"/>
        <w:spacing w:before="100" w:after="140"/>
        <w:ind w:left="259"/>
        <w:shd w:fill="F3F6FA"/>
      </w:pPr>
      <w:r>
        <w:rPr>
          <w:rFonts w:ascii="Consolas" w:hAnsi="Consolas"/>
          <w:color w:val="243447"/>
          <w:sz w:val="15"/>
        </w:rPr>
        <w:t>npm run seed:compliance-controls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81" w:right="1181" w:bottom="1123" w:left="1181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6788A"/>
        <w:sz w:val="16"/>
      </w:rPr>
      <w:t xml:space="preserve">ServicePro Documentation Library  |  </w:t>
    </w:r>
    <w:r>
      <w:fldChar w:fldCharType="begin"/>
      <w:instrText xml:space="preserve">PAGE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aption"/>
    </w:pPr>
    <w:r>
      <w:rPr>
        <w:color w:val="66788A"/>
        <w:sz w:val="16"/>
      </w:rPr>
      <w:t>SERVICEPRO  |  SPRINT DOCUMENTATION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Aptos" w:hAnsi="Aptos"/>
      <w:color w:val="24344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4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0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2E74B5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Sprint 117 - Compliance Control Mapping</dc:title>
  <dc:subject>Endpoints to wire</dc:subject>
  <dc:creator>ServicePro</dc:creator>
  <cp:keywords>ServicePro, enterprise platform, field service, SaaS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