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Service Health Monitoring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ServicePro product and operations documentation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bookmarkStart w:id="1" w:name="document_control"/>
      <w:r>
        <w:t>Document Control</w:t>
      </w:r>
      <w:bookmarkEnd w:id="1"/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Use the linked table of contents below or Word's Navigation Pane to move through this document.</w:t>
      </w:r>
    </w:p>
    <w:p>
      <w:pPr>
        <w:pStyle w:val="Heading1"/>
      </w:pPr>
      <w:bookmarkStart w:id="2" w:name="table_of_contents"/>
      <w:r>
        <w:t>Table of Contents</w:t>
      </w:r>
      <w:bookmarkEnd w:id="2"/>
    </w:p>
    <w:p>
      <w:pPr>
        <w:spacing w:after="60"/>
      </w:pPr>
      <w:hyperlink w:anchor="document_control">
        <w:r>
          <w:rPr>
            <w:rStyle w:val="Hyperlink"/>
          </w:rPr>
          <w:t>Document Control</w:t>
        </w:r>
      </w:hyperlink>
    </w:p>
    <w:p>
      <w:r>
        <w:br w:type="page"/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Service Health Monitoring</dc:title>
  <dc:subject>ServicePro product and operations documentation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