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155 - Privacy Compliance Evidence and Reporting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Adds tenant-scoped privacy compliance evidence collection, review and acceptance, periodic report generation and publication, and operational metrics.</w:t>
      </w:r>
    </w:p>
    <w:p>
      <w:r>
        <w:t xml:space="preserve">Endpoints: </w:t>
      </w:r>
      <w:r>
        <w:rPr>
          <w:rFonts w:ascii="Consolas" w:hAnsi="Consolas"/>
          <w:sz w:val="18"/>
        </w:rPr>
        <w:t>/api/v1/privacy/compliance-evidence</w:t>
      </w:r>
      <w:r>
        <w:t xml:space="preserve">, </w:t>
      </w:r>
      <w:r>
        <w:rPr>
          <w:rFonts w:ascii="Consolas" w:hAnsi="Consolas"/>
          <w:sz w:val="18"/>
        </w:rPr>
        <w:t>/api/v1/privacy/compliance-reports</w:t>
      </w:r>
      <w:r>
        <w:t xml:space="preserve">, and </w:t>
      </w:r>
      <w:r>
        <w:rPr>
          <w:rFonts w:ascii="Consolas" w:hAnsi="Consolas"/>
          <w:sz w:val="18"/>
        </w:rPr>
        <w:t>/api/v1/privacy/compliance-metrics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155 - Privacy Compliance Evidence and Reporting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