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156 - Privacy Risk Exceptions and Remediation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Adds privacy risk findings, remediation ownership and deadlines, exception requests and approvals, resolution tracking, overdue detection, and tenant-scoped metrics.</w:t>
      </w:r>
    </w:p>
    <w:p>
      <w:r>
        <w:t xml:space="preserve">Endpoints: </w:t>
      </w:r>
      <w:r>
        <w:rPr>
          <w:rFonts w:ascii="Consolas" w:hAnsi="Consolas"/>
          <w:sz w:val="18"/>
        </w:rPr>
        <w:t>/api/v1/privacy/risk-findings</w:t>
      </w:r>
      <w:r>
        <w:t xml:space="preserve"> and </w:t>
      </w:r>
      <w:r>
        <w:rPr>
          <w:rFonts w:ascii="Consolas" w:hAnsi="Consolas"/>
          <w:sz w:val="18"/>
        </w:rPr>
        <w:t>/api/v1/privacy/risk-metrics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156 - Privacy Risk Exceptions and Remediation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