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159 - Global Policy Management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>Adds a tenant-scoped policy library, immutable version lineage, review and approval workflow, controlled publication, employee acknowledgements and attestations, policy exceptions, expiration reminders, and governance metrics.</w:t>
      </w:r>
    </w:p>
    <w:p>
      <w:r>
        <w:t xml:space="preserve">Endpoints: </w:t>
      </w:r>
      <w:r>
        <w:rPr>
          <w:rFonts w:ascii="Consolas" w:hAnsi="Consolas"/>
          <w:sz w:val="18"/>
        </w:rPr>
        <w:t>/api/v1/governance/policies</w:t>
      </w:r>
      <w:r>
        <w:t xml:space="preserve">, </w:t>
      </w:r>
      <w:r>
        <w:rPr>
          <w:rFonts w:ascii="Consolas" w:hAnsi="Consolas"/>
          <w:sz w:val="18"/>
        </w:rPr>
        <w:t>/api/v1/governance/policy-versions</w:t>
      </w:r>
      <w:r>
        <w:t xml:space="preserve">, </w:t>
      </w:r>
      <w:r>
        <w:rPr>
          <w:rFonts w:ascii="Consolas" w:hAnsi="Consolas"/>
          <w:sz w:val="18"/>
        </w:rPr>
        <w:t>/api/v1/governance/policy-acknowledgements</w:t>
      </w:r>
      <w:r>
        <w:t xml:space="preserve">, </w:t>
      </w:r>
      <w:r>
        <w:rPr>
          <w:rFonts w:ascii="Consolas" w:hAnsi="Consolas"/>
          <w:sz w:val="18"/>
        </w:rPr>
        <w:t>/api/v1/governance/policy-exceptions</w:t>
      </w:r>
      <w:r>
        <w:t xml:space="preserve">, and </w:t>
      </w:r>
      <w:r>
        <w:rPr>
          <w:rFonts w:ascii="Consolas" w:hAnsi="Consolas"/>
          <w:sz w:val="18"/>
        </w:rPr>
        <w:t>/api/v1/governance/policy-metrics</w:t>
      </w:r>
      <w:r>
        <w:t>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159 - Global Policy Management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