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Sprint16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Implemented:</w:t>
      </w:r>
    </w:p>
    <w:p>
      <w:pPr>
        <w:pStyle w:val="ListBullet"/>
      </w:pPr>
      <w:r>
        <w:t>Appointment request workflow</w:t>
      </w:r>
    </w:p>
    <w:p>
      <w:pPr>
        <w:pStyle w:val="ListBullet"/>
      </w:pPr>
      <w:r>
        <w:t>Technician availability model</w:t>
      </w:r>
    </w:p>
    <w:p>
      <w:pPr>
        <w:pStyle w:val="ListBullet"/>
      </w:pPr>
      <w:r>
        <w:t>Calendar sync provider abstraction</w:t>
      </w:r>
    </w:p>
    <w:p>
      <w:pPr>
        <w:pStyle w:val="ListBullet"/>
      </w:pPr>
      <w:r>
        <w:t>Dispatch board interfaces</w:t>
      </w:r>
    </w:p>
    <w:p>
      <w:pPr>
        <w:pStyle w:val="ListBullet"/>
      </w:pPr>
      <w:r>
        <w:t>ETA notification event model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Sprint16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