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160 - Enterprise Risk Register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a tenant-scoped risk catalog and taxonomy, inherent and residual scoring, ownership, KRIs and breach detection, treatment plans, heat maps, and risk dashboard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/api/v1/governance/risks</w:t>
      </w:r>
      <w:r>
        <w:t xml:space="preserve">, </w:t>
      </w:r>
      <w:r>
        <w:rPr>
          <w:rFonts w:ascii="Consolas" w:hAnsi="Consolas"/>
          <w:sz w:val="18"/>
        </w:rPr>
        <w:t>/api/v1/governance/risk-kris</w:t>
      </w:r>
      <w:r>
        <w:t xml:space="preserve">, </w:t>
      </w:r>
      <w:r>
        <w:rPr>
          <w:rFonts w:ascii="Consolas" w:hAnsi="Consolas"/>
          <w:sz w:val="18"/>
        </w:rPr>
        <w:t>/api/v1/governance/risk-treatments</w:t>
      </w:r>
      <w:r>
        <w:t xml:space="preserve">, and </w:t>
      </w:r>
      <w:r>
        <w:rPr>
          <w:rFonts w:ascii="Consolas" w:hAnsi="Consolas"/>
          <w:sz w:val="18"/>
        </w:rPr>
        <w:t>/api/v1/governance/risk-metrics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160 - Enterprise Risk Register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