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252 — Post Ga Defect Intake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15 capability domain: </w:t>
      </w:r>
      <w:r>
        <w:rPr>
          <w:rFonts w:ascii="Consolas" w:hAnsi="Consolas"/>
          <w:sz w:val="18"/>
        </w:rPr>
        <w:t>post-ga-defect-intake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/api/v1/post-ga-lts/post-ga-defect-intake.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252 — Post Ga Defect Intake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