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261 — Customer Health Churn Risk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Phase 15 capability domain: </w:t>
      </w:r>
      <w:r>
        <w:rPr>
          <w:rFonts w:ascii="Consolas" w:hAnsi="Consolas"/>
          <w:sz w:val="18"/>
        </w:rPr>
        <w:t>customer-health-churn-risk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/api/v1/post-ga-lts/customer-health-churn-risk.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261 — Customer Health Churn Risk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