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276 — Model Routing Optimization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16 capability domain: </w:t>
      </w:r>
      <w:r>
        <w:rPr>
          <w:rFonts w:ascii="Consolas" w:hAnsi="Consolas"/>
          <w:sz w:val="18"/>
        </w:rPr>
        <w:t>model-routing-optimization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/api/v1/enterprise-intelligence/model-routing-optimization.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276 — Model Routing Optimization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