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281 — Internationalization Foundation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17 capability domain: </w:t>
      </w:r>
      <w:r>
        <w:rPr>
          <w:rFonts w:ascii="Consolas" w:hAnsi="Consolas"/>
          <w:sz w:val="18"/>
        </w:rPr>
        <w:t>internationalization-foundation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/api/v1/global-scale/internationalization-foundation.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281 — Internationalization Foundation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