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283 — Regional Data Residency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17 capability domain: </w:t>
      </w:r>
      <w:r>
        <w:rPr>
          <w:rFonts w:ascii="Consolas" w:hAnsi="Consolas"/>
          <w:sz w:val="18"/>
        </w:rPr>
        <w:t>regional-data-residency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/api/v1/global-scale/regional-data-residency.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283 — Regional Data Residency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