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288 — Regional Configuration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17 capability domain: </w:t>
      </w:r>
      <w:r>
        <w:rPr>
          <w:rFonts w:ascii="Consolas" w:hAnsi="Consolas"/>
          <w:sz w:val="18"/>
        </w:rPr>
        <w:t>regional-configuration-management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/api/v1/global-scale/regional-configuration-management.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288 — Regional Configuration Management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