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289 — Global Notification Localization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17 capability domain: </w:t>
      </w:r>
      <w:r>
        <w:rPr>
          <w:rFonts w:ascii="Consolas" w:hAnsi="Consolas"/>
          <w:sz w:val="18"/>
        </w:rPr>
        <w:t>global-notification-localization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/api/v1/global-scale/global-notification-localization.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289 — Global Notification Localization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