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291 — Currency Tax Localization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17 capability domain: </w:t>
      </w:r>
      <w:r>
        <w:rPr>
          <w:rFonts w:ascii="Consolas" w:hAnsi="Consolas"/>
          <w:sz w:val="18"/>
        </w:rPr>
        <w:t>currency-tax-localization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/api/v1/global-scale/currency-tax-localization.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291 — Currency Tax Localization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