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292 — Regional Compliance Packs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Phase 17 capability domain: </w:t>
      </w:r>
      <w:r>
        <w:rPr>
          <w:rFonts w:ascii="Consolas" w:hAnsi="Consolas"/>
          <w:sz w:val="18"/>
        </w:rPr>
        <w:t>regional-compliance-packs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/api/v1/global-scale/regional-compliance-packs.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292 — Regional Compliance Packs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