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Sprint30 Communications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 30 establishes the communications layer.</w:t>
      </w:r>
    </w:p>
    <w:p>
      <w:r>
        <w:t>Included:</w:t>
      </w:r>
    </w:p>
    <w:p>
      <w:pPr>
        <w:pStyle w:val="ListBullet"/>
      </w:pPr>
      <w:r>
        <w:t>Notification preferences</w:t>
      </w:r>
    </w:p>
    <w:p>
      <w:pPr>
        <w:pStyle w:val="ListBullet"/>
      </w:pPr>
      <w:r>
        <w:t>Email templates</w:t>
      </w:r>
    </w:p>
    <w:p>
      <w:pPr>
        <w:pStyle w:val="ListBullet"/>
      </w:pPr>
      <w:r>
        <w:t>SMS templates</w:t>
      </w:r>
    </w:p>
    <w:p>
      <w:pPr>
        <w:pStyle w:val="ListBullet"/>
      </w:pPr>
      <w:r>
        <w:t>Communication history</w:t>
      </w:r>
    </w:p>
    <w:p>
      <w:pPr>
        <w:pStyle w:val="ListBullet"/>
      </w:pPr>
      <w:r>
        <w:t>Campaign scheduling foundation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Sprint30 Communications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