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300 — Utilities Field Operations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18 capability domain: </w:t>
      </w:r>
      <w:r>
        <w:rPr>
          <w:rFonts w:ascii="Consolas" w:hAnsi="Consolas"/>
          <w:sz w:val="18"/>
        </w:rPr>
        <w:t>utilities-field-operations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/api/v1/industry-solutions/utilities-field-operations.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300 — Utilities Field Operations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