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301 — Transportation Fleet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18 capability domain: </w:t>
      </w:r>
      <w:r>
        <w:rPr>
          <w:rFonts w:ascii="Consolas" w:hAnsi="Consolas"/>
          <w:sz w:val="18"/>
        </w:rPr>
        <w:t>transportation-fleet-operations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/api/v1/industry-solutions/transportation-fleet-operations.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301 — Transportation Fleet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