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311 — Custom Object Framework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19 capability domain: </w:t>
      </w:r>
      <w:r>
        <w:rPr>
          <w:rFonts w:ascii="Consolas" w:hAnsi="Consolas"/>
          <w:sz w:val="18"/>
        </w:rPr>
        <w:t>custom-object-framework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/api/v1/platform-extensibility/custom-object-framework.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311 — Custom Object Framework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