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312 — Visual Workflow Designer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Phase 19 capability domain: </w:t>
      </w:r>
      <w:r>
        <w:rPr>
          <w:rFonts w:ascii="Consolas" w:hAnsi="Consolas"/>
          <w:sz w:val="18"/>
        </w:rPr>
        <w:t>visual-workflow-designer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/api/v1/platform-extensibility/visual-workflow-designer.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312 — Visual Workflow Designer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