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313 — Low Code Form Builder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19 capability domain: </w:t>
      </w:r>
      <w:r>
        <w:rPr>
          <w:rFonts w:ascii="Consolas" w:hAnsi="Consolas"/>
          <w:sz w:val="18"/>
        </w:rPr>
        <w:t>low-code-form-builder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/api/v1/platform-extensibility/low-code-form-builder.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313 — Low Code Form Builder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