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314 — Business Rule Designer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19 capability domain: </w:t>
      </w:r>
      <w:r>
        <w:rPr>
          <w:rFonts w:ascii="Consolas" w:hAnsi="Consolas"/>
          <w:sz w:val="18"/>
        </w:rPr>
        <w:t>business-rule-designer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/api/v1/platform-extensibility/business-rule-designer.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314 — Business Rule Designer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