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328 — Frontend Architecture Modernization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20 capability domain: </w:t>
      </w:r>
      <w:r>
        <w:rPr>
          <w:rFonts w:ascii="Consolas" w:hAnsi="Consolas"/>
          <w:sz w:val="18"/>
        </w:rPr>
        <w:t>frontend-architecture-modernization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/api/v1/version3-foundation/frontend-architecture-modernization.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328 — Frontend Architecture Modernization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