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332 — Modular Monolith Boundaries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20 capability domain: </w:t>
      </w:r>
      <w:r>
        <w:rPr>
          <w:rFonts w:ascii="Consolas" w:hAnsi="Consolas"/>
          <w:sz w:val="18"/>
        </w:rPr>
        <w:t>modular-monolith-boundaries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/api/v1/version3-foundation/modular-monolith-boundaries.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332 — Modular Monolith Boundaries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