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333 — Performance Engineering V3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 xml:space="preserve">Phase 20 capability domain: </w:t>
      </w:r>
      <w:r>
        <w:rPr>
          <w:rFonts w:ascii="Consolas" w:hAnsi="Consolas"/>
          <w:sz w:val="18"/>
        </w:rPr>
        <w:t>performance-engineering-v3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/api/v1/version3-foundation/performance-engineering-v3.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333 — Performance Engineering V3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