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335 — Observability Architecture V3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20 capability domain: </w:t>
      </w:r>
      <w:r>
        <w:rPr>
          <w:rFonts w:ascii="Consolas" w:hAnsi="Consolas"/>
          <w:sz w:val="18"/>
        </w:rPr>
        <w:t>observability-architecture-v3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/api/v1/version3-foundation/observability-architecture-v3.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335 — Observability Architecture V3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