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389 — Margin Intelligence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Implemented as part of Phase 24: Financial and Growth Operations.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389 — Margin Intelligence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