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300" w:after="200"/>
        <w:jc w:val="center"/>
      </w:pPr>
      <w:r>
        <w:rPr>
          <w:rFonts w:ascii="Aptos" w:hAnsi="Aptos"/>
          <w:b/>
          <w:color w:val="C7922B"/>
          <w:sz w:val="20"/>
        </w:rPr>
        <w:t>SPRINT DOCUMENTATION</w:t>
      </w:r>
    </w:p>
    <w:p>
      <w:pPr>
        <w:spacing w:after="240"/>
        <w:jc w:val="center"/>
      </w:pPr>
      <w:r>
        <w:rPr>
          <w:rFonts w:ascii="Aptos Display" w:hAnsi="Aptos Display"/>
          <w:b/>
          <w:color w:val="17365D"/>
          <w:sz w:val="60"/>
        </w:rPr>
        <w:t>Sprint 392 — Tax Operations Expansion</w:t>
      </w:r>
    </w:p>
    <w:p>
      <w:pPr>
        <w:spacing w:after="1600"/>
        <w:jc w:val="center"/>
      </w:pPr>
      <w:r>
        <w:rPr>
          <w:rFonts w:ascii="Aptos" w:hAnsi="Aptos"/>
          <w:color w:val="2E74B5"/>
          <w:sz w:val="28"/>
        </w:rPr>
        <w:t>ServicePro product and operations documentation</w:t>
      </w:r>
    </w:p>
    <w:p>
      <w:pPr>
        <w:jc w:val="center"/>
      </w:pPr>
      <w:r>
        <w:rPr>
          <w:color w:val="66788A"/>
          <w:sz w:val="19"/>
        </w:rPr>
        <w:t>Publication edition  |  2026-08-03</w:t>
      </w:r>
    </w:p>
    <w:p>
      <w:r>
        <w:br w:type="page"/>
      </w:r>
    </w:p>
    <w:p>
      <w:pPr>
        <w:pStyle w:val="Heading1"/>
      </w:pPr>
      <w:bookmarkStart w:id="1" w:name="document_control"/>
      <w:r>
        <w:t>Document Control</w:t>
      </w:r>
      <w:bookmarkEnd w:id="1"/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type="dxa" w:w="120"/>
      </w:tblPr>
      <w:tblGrid>
        <w:gridCol w:w="2100"/>
        <w:gridCol w:w="7260"/>
      </w:tblGrid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Enterprise platform overview and buyer evaluation reference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Audience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Business leaders, platform administrators, evaluators, partners, and technical stakeholders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Scope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Capabilities, architecture, security, deployment, adoption, outcomes, and terminology</w:t>
            </w:r>
          </w:p>
        </w:tc>
      </w:tr>
      <w:tr>
        <w:tc>
          <w:tcPr>
            <w:tcW w:type="dxa" w:w="2100"/>
            <w:vAlign w:val="center"/>
            <w:shd w:fill="DCE6F1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b/>
              </w:rPr>
              <w:t>Source</w:t>
            </w:r>
          </w:p>
        </w:tc>
        <w:tc>
          <w:tcPr>
            <w:tcW w:type="dxa" w:w="7260"/>
            <w:vAlign w:val="center"/>
            <w:shd w:fill="FFFFFF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t>ServicePro repository documentation; technical meaning preserved</w:t>
            </w:r>
          </w:p>
        </w:tc>
      </w:tr>
    </w:tbl>
    <w:p>
      <w:r>
        <w:t>Use the linked table of contents below or Word's Navigation Pane to move through this document.</w:t>
      </w:r>
    </w:p>
    <w:p>
      <w:pPr>
        <w:pStyle w:val="Heading1"/>
      </w:pPr>
      <w:bookmarkStart w:id="2" w:name="table_of_contents"/>
      <w:r>
        <w:t>Table of Contents</w:t>
      </w:r>
      <w:bookmarkEnd w:id="2"/>
    </w:p>
    <w:p>
      <w:pPr>
        <w:spacing w:after="60"/>
      </w:pPr>
      <w:hyperlink w:anchor="document_control">
        <w:r>
          <w:rPr>
            <w:rStyle w:val="Hyperlink"/>
          </w:rPr>
          <w:t>Document Control</w:t>
        </w:r>
      </w:hyperlink>
    </w:p>
    <w:p>
      <w:r>
        <w:br w:type="page"/>
      </w:r>
    </w:p>
    <w:p>
      <w:r>
        <w:t>Implemented as part of Phase 24: Financial and Growth Operations.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81" w:right="1181" w:bottom="1123" w:left="1181" w:header="504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788A"/>
        <w:sz w:val="16"/>
      </w:rPr>
      <w:t xml:space="preserve">ServicePro Documentation Library  |  </w:t>
    </w:r>
    <w:r>
      <w:fldChar w:fldCharType="begin"/>
      <w:instrText xml:space="preserve">PAGE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</w:pPr>
    <w:r>
      <w:rPr>
        <w:color w:val="66788A"/>
        <w:sz w:val="16"/>
      </w:rPr>
      <w:t>SERVICEPRO  |  SPRINT DOCUMENTATION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ptos" w:hAnsi="Aptos"/>
      <w:color w:val="24344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E74B5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60"/>
      <w:ind w:left="547" w:hanging="274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392 — Tax Operations Expansion</dc:title>
  <dc:subject>ServicePro product and operations documentation</dc:subject>
  <dc:creator>ServicePro</dc:creator>
  <cp:keywords>ServicePro, enterprise platform, field service, SaaS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