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482 — Sensor Health Monitoring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>Phase 30: Connected Assets and Edge Operations.</w:t>
      </w:r>
    </w:p>
    <w:p>
      <w:pPr>
        <w:pStyle w:val="ListBullet"/>
      </w:pPr>
      <w:r>
        <w:t>API domain: sensor-health-monitoring</w:t>
      </w:r>
    </w:p>
    <w:p>
      <w:pPr>
        <w:pStyle w:val="ListBullet"/>
      </w:pPr>
      <w:r>
        <w:t>Base route: /api/v1/connected-edge/sensor-health-monitoring</w:t>
      </w:r>
    </w:p>
    <w:p>
      <w:pPr>
        <w:pStyle w:val="ListBullet"/>
      </w:pPr>
      <w:r>
        <w:t>Migration: 482_sensor_health_monitoring.sql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482 — Sensor Health Monitoring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