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490 — Connected Assets Release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>Phase 30: Connected Assets and Edge Operations.</w:t>
      </w:r>
    </w:p>
    <w:p>
      <w:pPr>
        <w:pStyle w:val="ListBullet"/>
      </w:pPr>
      <w:r>
        <w:t>API domain: connected-assets-release</w:t>
      </w:r>
    </w:p>
    <w:p>
      <w:pPr>
        <w:pStyle w:val="ListBullet"/>
      </w:pPr>
      <w:r>
        <w:t>Base route: /api/v1/connected-edge/connected-assets-release</w:t>
      </w:r>
    </w:p>
    <w:p>
      <w:pPr>
        <w:pStyle w:val="ListBullet"/>
      </w:pPr>
      <w:r>
        <w:t>Migration: 490_connected_assets_release.sql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490 — Connected Assets Release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