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495 — Workforce Capacity Exchange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workforce-capacity-exchange</w:t>
      </w:r>
    </w:p>
    <w:p>
      <w:pPr>
        <w:pStyle w:val="ListBullet"/>
      </w:pPr>
      <w:r>
        <w:t>Base route: /api/v1/workforce-commerce/workforce-capacity-exchange</w:t>
      </w:r>
    </w:p>
    <w:p>
      <w:pPr>
        <w:pStyle w:val="ListBullet"/>
      </w:pPr>
      <w:r>
        <w:t>Migration: 495_workforce_capacity_exchange.sql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495 — Workforce Capacity Exchange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