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498 — Escrow Settlement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31: Workforce and Commerce Network.</w:t>
      </w:r>
    </w:p>
    <w:p>
      <w:pPr>
        <w:pStyle w:val="ListBullet"/>
      </w:pPr>
      <w:r>
        <w:t>API domain: escrow-settlement</w:t>
      </w:r>
    </w:p>
    <w:p>
      <w:pPr>
        <w:pStyle w:val="ListBullet"/>
      </w:pPr>
      <w:r>
        <w:t>Base route: /api/v1/workforce-commerce/escrow-settlement</w:t>
      </w:r>
    </w:p>
    <w:p>
      <w:pPr>
        <w:pStyle w:val="ListBullet"/>
      </w:pPr>
      <w:r>
        <w:t>Migration: 498_escrow_settlement.sql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498 — Escrow Settlement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