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500 — Supplier Commerce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31: Workforce and Commerce Network.</w:t>
      </w:r>
    </w:p>
    <w:p>
      <w:pPr>
        <w:pStyle w:val="ListBullet"/>
      </w:pPr>
      <w:r>
        <w:t>API domain: supplier-commerce</w:t>
      </w:r>
    </w:p>
    <w:p>
      <w:pPr>
        <w:pStyle w:val="ListBullet"/>
      </w:pPr>
      <w:r>
        <w:t>Base route: /api/v1/workforce-commerce/supplier-commerce</w:t>
      </w:r>
    </w:p>
    <w:p>
      <w:pPr>
        <w:pStyle w:val="ListBullet"/>
      </w:pPr>
      <w:r>
        <w:t>Migration: 500_supplier_commerce.sql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500 — Supplier Commerce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