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592 — Green Service Routing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green-service-routing</w:t>
      </w:r>
    </w:p>
    <w:p>
      <w:r>
        <w:t xml:space="preserve">API: </w:t>
      </w:r>
      <w:r>
        <w:rPr>
          <w:rFonts w:ascii="Consolas" w:hAnsi="Consolas"/>
          <w:sz w:val="18"/>
        </w:rPr>
        <w:t>/api/v1/sustainability-circular-operations/green-service-routing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592 — Green Service Routing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