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594 — Sustainability Analytics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Domain: </w:t>
      </w:r>
      <w:r>
        <w:rPr>
          <w:rFonts w:ascii="Consolas" w:hAnsi="Consolas"/>
          <w:sz w:val="18"/>
        </w:rPr>
        <w:t>sustainability-analytics</w:t>
      </w:r>
    </w:p>
    <w:p>
      <w:r>
        <w:t xml:space="preserve">API: </w:t>
      </w:r>
      <w:r>
        <w:rPr>
          <w:rFonts w:ascii="Consolas" w:hAnsi="Consolas"/>
          <w:sz w:val="18"/>
        </w:rPr>
        <w:t>/api/v1/sustainability-circular-operations/sustainability-analytics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594 — Sustainability Analytics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