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67 - Audit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Example manual audit event</w:t>
        </w:r>
      </w:hyperlink>
    </w:p>
    <w:p>
      <w:r>
        <w:br w:type="page"/>
      </w:r>
    </w:p>
    <w:p>
      <w:r>
        <w:t>Apply this patch over Sprint 66.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/api/v1/audit</w:t>
        <w:br/>
        <w:t>POST /api/v1/audit</w:t>
      </w:r>
    </w:p>
    <w:p>
      <w:pPr>
        <w:pStyle w:val="Heading1"/>
      </w:pPr>
      <w:bookmarkStart w:id="3" w:name="section_001"/>
      <w:r>
        <w:t>Example manual audit event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"eventType": "entity.activity",</w:t>
        <w:br/>
        <w:t xml:space="preserve">  "entityType": "job",</w:t>
        <w:br/>
        <w:t xml:space="preserve">  "entityId": "job_demo_1",</w:t>
        <w:br/>
        <w:t xml:space="preserve">  "action": "manual.review",</w:t>
        <w:br/>
        <w:t xml:space="preserve">  "metadata": {</w:t>
        <w:br/>
        <w:t xml:space="preserve">    "note": "Reviewed by manager"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67 - Audit Runtime</dc:title>
  <dc:subject>Endpoints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