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764 — Progressive Rollout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Supported rollout strategies:</w:t>
      </w:r>
    </w:p>
    <w:p>
      <w:pPr>
        <w:pStyle w:val="ListBullet"/>
      </w:pPr>
      <w:r>
        <w:t>Canary</w:t>
      </w:r>
    </w:p>
    <w:p>
      <w:pPr>
        <w:pStyle w:val="ListBullet"/>
      </w:pPr>
      <w:r>
        <w:t>Blue/Green</w:t>
      </w:r>
    </w:p>
    <w:p>
      <w:pPr>
        <w:pStyle w:val="ListBullet"/>
      </w:pPr>
      <w:r>
        <w:t>Ring</w:t>
      </w:r>
    </w:p>
    <w:p>
      <w:r>
        <w:t>Capabilities:</w:t>
      </w:r>
    </w:p>
    <w:p>
      <w:pPr>
        <w:pStyle w:val="ListBullet"/>
      </w:pPr>
      <w:r>
        <w:t>ordered traffic-percentage steps;</w:t>
      </w:r>
    </w:p>
    <w:p>
      <w:pPr>
        <w:pStyle w:val="ListBullet"/>
      </w:pPr>
      <w:r>
        <w:t>observation windows;</w:t>
      </w:r>
    </w:p>
    <w:p>
      <w:pPr>
        <w:pStyle w:val="ListBullet"/>
      </w:pPr>
      <w:r>
        <w:t>error-rate gating;</w:t>
      </w:r>
    </w:p>
    <w:p>
      <w:pPr>
        <w:pStyle w:val="ListBullet"/>
      </w:pPr>
      <w:r>
        <w:t>latency gating;</w:t>
      </w:r>
    </w:p>
    <w:p>
      <w:pPr>
        <w:pStyle w:val="ListBullet"/>
      </w:pPr>
      <w:r>
        <w:t>availability gating;</w:t>
      </w:r>
    </w:p>
    <w:p>
      <w:pPr>
        <w:pStyle w:val="ListBullet"/>
      </w:pPr>
      <w:r>
        <w:t>saturation gating;</w:t>
      </w:r>
    </w:p>
    <w:p>
      <w:pPr>
        <w:pStyle w:val="ListBullet"/>
      </w:pPr>
      <w:r>
        <w:t>automatic pause;</w:t>
      </w:r>
    </w:p>
    <w:p>
      <w:pPr>
        <w:pStyle w:val="ListBullet"/>
      </w:pPr>
      <w:r>
        <w:t>persistent rollout state;</w:t>
      </w:r>
    </w:p>
    <w:p>
      <w:pPr>
        <w:pStyle w:val="ListBullet"/>
      </w:pPr>
      <w:r>
        <w:t>rollout history and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764 — Progressive Rollout Orchestration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